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делу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2-</w:t>
      </w:r>
      <w:r>
        <w:rPr>
          <w:rFonts w:ascii="Times New Roman" w:eastAsia="Times New Roman" w:hAnsi="Times New Roman" w:cs="Times New Roman"/>
          <w:sz w:val="26"/>
          <w:szCs w:val="26"/>
        </w:rPr>
        <w:t>000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0032-01-2024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795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Лян</w:t>
      </w:r>
      <w:r>
        <w:rPr>
          <w:rFonts w:ascii="Times New Roman" w:eastAsia="Times New Roman" w:hAnsi="Times New Roman" w:cs="Times New Roman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Атрашковой Н.В.,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в открытом судебном заседании гражданско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к </w:t>
      </w:r>
      <w:r>
        <w:rPr>
          <w:rFonts w:ascii="Times New Roman" w:eastAsia="Times New Roman" w:hAnsi="Times New Roman" w:cs="Times New Roman"/>
          <w:sz w:val="28"/>
          <w:szCs w:val="28"/>
        </w:rPr>
        <w:t>Турченкову Александру Николаевичу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«Банк Русский Стандарт» к </w:t>
      </w:r>
      <w:r>
        <w:rPr>
          <w:rFonts w:ascii="Times New Roman" w:eastAsia="Times New Roman" w:hAnsi="Times New Roman" w:cs="Times New Roman"/>
          <w:sz w:val="28"/>
          <w:szCs w:val="28"/>
        </w:rPr>
        <w:t>Турченкову Александру Николаевичу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кредитному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Турченкова Александра Николаевича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АО «Банк Русский Стандарт»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Style w:val="cat-UserDefinedgrp-19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кредитному договору № </w:t>
      </w:r>
      <w:r>
        <w:rPr>
          <w:rStyle w:val="cat-UserDefinedgrp-2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.2005 г.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.2005 г. по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.2024 г.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расходы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пятнадцать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объявления резолютивной части решения они имеют право обратиться в суд с заявлением о составлении мотивированного решения суда.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решение может быть подана апелляционная жалоба в Сургутский районный суд в течение месяца со дня принятия решения суда в окончательной форме через судью, вынесшего решение.</w:t>
      </w:r>
    </w:p>
    <w:p>
      <w:pPr>
        <w:pStyle w:val="Heading4"/>
        <w:spacing w:before="0" w:after="0"/>
        <w:ind w:firstLine="720"/>
        <w:jc w:val="both"/>
        <w:outlineLvl w:val="9"/>
        <w:rPr>
          <w:b/>
          <w:bCs/>
          <w:sz w:val="28"/>
          <w:szCs w:val="28"/>
        </w:rPr>
      </w:pPr>
    </w:p>
    <w:p>
      <w:pPr>
        <w:pStyle w:val="Heading4"/>
        <w:spacing w:before="0" w:after="0"/>
        <w:ind w:firstLine="720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 xml:space="preserve"> </w:t>
      </w:r>
      <w:r>
        <w:rPr>
          <w:b w:val="0"/>
          <w:bCs w:val="0"/>
          <w:i w:val="0"/>
          <w:sz w:val="28"/>
          <w:szCs w:val="28"/>
        </w:rPr>
        <w:t>Мировой судья</w:t>
      </w:r>
      <w:r>
        <w:rPr>
          <w:b/>
          <w:bCs/>
          <w:i w:val="0"/>
          <w:sz w:val="28"/>
          <w:szCs w:val="28"/>
        </w:rPr>
        <w:tab/>
      </w:r>
      <w:r>
        <w:rPr>
          <w:b/>
          <w:bCs/>
          <w:i w:val="0"/>
          <w:sz w:val="28"/>
          <w:szCs w:val="28"/>
        </w:rPr>
        <w:tab/>
      </w:r>
      <w:r>
        <w:rPr>
          <w:b/>
          <w:bCs/>
          <w:i w:val="0"/>
          <w:sz w:val="28"/>
          <w:szCs w:val="28"/>
        </w:rPr>
        <w:tab/>
      </w:r>
      <w:r>
        <w:rPr>
          <w:b w:val="0"/>
          <w:bCs w:val="0"/>
          <w:i w:val="0"/>
          <w:sz w:val="28"/>
          <w:szCs w:val="28"/>
        </w:rPr>
        <w:t xml:space="preserve">                                         </w:t>
      </w:r>
      <w:r>
        <w:rPr>
          <w:b w:val="0"/>
          <w:bCs w:val="0"/>
          <w:i w:val="0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16">
    <w:name w:val="cat-UserDefined grp-18 rplc-16"/>
    <w:basedOn w:val="DefaultParagraphFont"/>
  </w:style>
  <w:style w:type="character" w:customStyle="1" w:styleId="cat-UserDefinedgrp-19rplc-18">
    <w:name w:val="cat-UserDefined grp-19 rplc-18"/>
    <w:basedOn w:val="DefaultParagraphFont"/>
  </w:style>
  <w:style w:type="character" w:customStyle="1" w:styleId="cat-UserDefinedgrp-20rplc-19">
    <w:name w:val="cat-UserDefined grp-2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